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A5" w:rsidRPr="00911D32" w:rsidRDefault="00017FA5" w:rsidP="00F54732">
      <w:pPr>
        <w:spacing w:after="0"/>
        <w:ind w:left="360"/>
        <w:jc w:val="both"/>
        <w:rPr>
          <w:rFonts w:ascii="Times New Roman" w:hAnsi="Times New Roman"/>
          <w:b/>
        </w:rPr>
      </w:pPr>
      <w:r w:rsidRPr="00911D32">
        <w:rPr>
          <w:rFonts w:ascii="Times New Roman" w:hAnsi="Times New Roman"/>
          <w:b/>
        </w:rPr>
        <w:t>Formación Ética y Ciudadana</w:t>
      </w:r>
    </w:p>
    <w:p w:rsidR="00017FA5" w:rsidRPr="00911D32" w:rsidRDefault="00017FA5" w:rsidP="00F54732">
      <w:pPr>
        <w:spacing w:after="0"/>
        <w:ind w:left="360"/>
        <w:jc w:val="both"/>
        <w:rPr>
          <w:rFonts w:ascii="Times New Roman" w:hAnsi="Times New Roman"/>
        </w:rPr>
      </w:pPr>
      <w:r w:rsidRPr="00911D32">
        <w:rPr>
          <w:rFonts w:ascii="Times New Roman" w:hAnsi="Times New Roman"/>
        </w:rPr>
        <w:t>Prof. de Pedagogía Ter. en Discap. Intelectual</w:t>
      </w:r>
      <w:r w:rsidRPr="00911D32">
        <w:rPr>
          <w:rFonts w:ascii="Times New Roman" w:hAnsi="Times New Roman"/>
        </w:rPr>
        <w:tab/>
      </w:r>
      <w:r w:rsidRPr="00911D32">
        <w:rPr>
          <w:rFonts w:ascii="Times New Roman" w:hAnsi="Times New Roman"/>
        </w:rPr>
        <w:tab/>
      </w:r>
      <w:r w:rsidRPr="00911D32">
        <w:rPr>
          <w:rFonts w:ascii="Times New Roman" w:hAnsi="Times New Roman"/>
        </w:rPr>
        <w:tab/>
      </w:r>
      <w:r w:rsidRPr="00911D32">
        <w:rPr>
          <w:rFonts w:ascii="Times New Roman" w:hAnsi="Times New Roman"/>
        </w:rPr>
        <w:tab/>
      </w:r>
      <w:r w:rsidRPr="00911D32">
        <w:rPr>
          <w:rFonts w:ascii="Times New Roman" w:hAnsi="Times New Roman"/>
        </w:rPr>
        <w:tab/>
        <w:t>Prof. Cecilia Tosoni</w:t>
      </w:r>
    </w:p>
    <w:p w:rsidR="00017FA5" w:rsidRPr="00911D32" w:rsidRDefault="00017FA5" w:rsidP="00F54732">
      <w:pPr>
        <w:spacing w:after="0"/>
        <w:ind w:left="360"/>
        <w:jc w:val="both"/>
        <w:rPr>
          <w:rFonts w:ascii="Times New Roman" w:hAnsi="Times New Roman"/>
        </w:rPr>
      </w:pPr>
      <w:r w:rsidRPr="00911D32">
        <w:rPr>
          <w:rFonts w:ascii="Times New Roman" w:hAnsi="Times New Roman"/>
        </w:rPr>
        <w:t>Prof. de Pedagogía Ter. en Discap. Visual</w:t>
      </w:r>
      <w:r w:rsidRPr="00911D32">
        <w:rPr>
          <w:rFonts w:ascii="Times New Roman" w:hAnsi="Times New Roman"/>
        </w:rPr>
        <w:tab/>
      </w:r>
      <w:r w:rsidRPr="00911D32">
        <w:rPr>
          <w:rFonts w:ascii="Times New Roman" w:hAnsi="Times New Roman"/>
        </w:rPr>
        <w:tab/>
      </w:r>
      <w:r w:rsidRPr="00911D32">
        <w:rPr>
          <w:rFonts w:ascii="Times New Roman" w:hAnsi="Times New Roman"/>
        </w:rPr>
        <w:tab/>
      </w:r>
      <w:r w:rsidRPr="00911D32">
        <w:rPr>
          <w:rFonts w:ascii="Times New Roman" w:hAnsi="Times New Roman"/>
        </w:rPr>
        <w:tab/>
      </w:r>
      <w:r w:rsidRPr="00911D32">
        <w:rPr>
          <w:rFonts w:ascii="Times New Roman" w:hAnsi="Times New Roman"/>
        </w:rPr>
        <w:tab/>
      </w:r>
      <w:r w:rsidRPr="00911D32">
        <w:rPr>
          <w:rFonts w:ascii="Times New Roman" w:hAnsi="Times New Roman"/>
        </w:rPr>
        <w:tab/>
      </w:r>
      <w:r>
        <w:rPr>
          <w:rFonts w:ascii="Times New Roman" w:hAnsi="Times New Roman"/>
        </w:rPr>
        <w:tab/>
      </w:r>
      <w:r w:rsidRPr="00911D32">
        <w:rPr>
          <w:rFonts w:ascii="Times New Roman" w:hAnsi="Times New Roman"/>
        </w:rPr>
        <w:t>2020</w:t>
      </w:r>
    </w:p>
    <w:p w:rsidR="00017FA5" w:rsidRDefault="00017FA5" w:rsidP="00F54732">
      <w:pPr>
        <w:spacing w:after="0"/>
        <w:ind w:left="360"/>
        <w:jc w:val="both"/>
        <w:rPr>
          <w:rFonts w:ascii="Times New Roman" w:hAnsi="Times New Roman"/>
          <w:sz w:val="24"/>
          <w:szCs w:val="24"/>
        </w:rPr>
      </w:pPr>
      <w:r w:rsidRPr="00B36B61">
        <w:rPr>
          <w:rFonts w:ascii="Times New Roman" w:hAnsi="Times New Roman"/>
          <w:sz w:val="24"/>
          <w:szCs w:val="24"/>
        </w:rPr>
        <w:tab/>
      </w:r>
      <w:r w:rsidRPr="00B36B61">
        <w:rPr>
          <w:rFonts w:ascii="Times New Roman" w:hAnsi="Times New Roman"/>
          <w:sz w:val="24"/>
          <w:szCs w:val="24"/>
        </w:rPr>
        <w:tab/>
      </w:r>
      <w:r w:rsidRPr="00B36B61">
        <w:rPr>
          <w:rFonts w:ascii="Times New Roman" w:hAnsi="Times New Roman"/>
          <w:sz w:val="24"/>
          <w:szCs w:val="24"/>
        </w:rPr>
        <w:tab/>
      </w:r>
      <w:r w:rsidRPr="00B36B61">
        <w:rPr>
          <w:rFonts w:ascii="Times New Roman" w:hAnsi="Times New Roman"/>
          <w:sz w:val="24"/>
          <w:szCs w:val="24"/>
        </w:rPr>
        <w:tab/>
      </w:r>
      <w:r w:rsidRPr="00B36B61">
        <w:rPr>
          <w:rFonts w:ascii="Times New Roman" w:hAnsi="Times New Roman"/>
          <w:sz w:val="24"/>
          <w:szCs w:val="24"/>
        </w:rPr>
        <w:tab/>
      </w:r>
      <w:r w:rsidRPr="00B36B61">
        <w:rPr>
          <w:rFonts w:ascii="Times New Roman" w:hAnsi="Times New Roman"/>
          <w:sz w:val="24"/>
          <w:szCs w:val="24"/>
        </w:rPr>
        <w:tab/>
      </w:r>
    </w:p>
    <w:p w:rsidR="00017FA5" w:rsidRDefault="00017FA5" w:rsidP="00B5654D">
      <w:pPr>
        <w:spacing w:after="0"/>
        <w:ind w:left="3900" w:firstLine="348"/>
        <w:jc w:val="both"/>
        <w:rPr>
          <w:rFonts w:ascii="Times New Roman" w:hAnsi="Times New Roman"/>
          <w:b/>
          <w:sz w:val="24"/>
          <w:szCs w:val="24"/>
          <w:u w:val="single"/>
        </w:rPr>
      </w:pPr>
      <w:r w:rsidRPr="00B36B61">
        <w:rPr>
          <w:rFonts w:ascii="Times New Roman" w:hAnsi="Times New Roman"/>
          <w:b/>
          <w:sz w:val="24"/>
          <w:szCs w:val="24"/>
          <w:u w:val="single"/>
        </w:rPr>
        <w:t xml:space="preserve">Trabajo Práctico nº </w:t>
      </w:r>
      <w:r>
        <w:rPr>
          <w:rFonts w:ascii="Times New Roman" w:hAnsi="Times New Roman"/>
          <w:b/>
          <w:sz w:val="24"/>
          <w:szCs w:val="24"/>
          <w:u w:val="single"/>
        </w:rPr>
        <w:t>4</w:t>
      </w:r>
    </w:p>
    <w:p w:rsidR="00017FA5" w:rsidRDefault="00017FA5" w:rsidP="00F54732">
      <w:pPr>
        <w:spacing w:after="0"/>
        <w:ind w:left="360"/>
        <w:jc w:val="both"/>
        <w:rPr>
          <w:rFonts w:ascii="Times New Roman" w:hAnsi="Times New Roman"/>
          <w:b/>
          <w:sz w:val="24"/>
          <w:szCs w:val="24"/>
          <w:u w:val="single"/>
        </w:rPr>
      </w:pPr>
    </w:p>
    <w:p w:rsidR="00017FA5" w:rsidRPr="00F54732" w:rsidRDefault="00017FA5" w:rsidP="00F54732">
      <w:pPr>
        <w:spacing w:after="0"/>
        <w:ind w:left="360"/>
        <w:jc w:val="both"/>
        <w:rPr>
          <w:rFonts w:ascii="Times New Roman" w:hAnsi="Times New Roman"/>
          <w:b/>
          <w:sz w:val="24"/>
          <w:szCs w:val="24"/>
          <w:u w:val="single"/>
        </w:rPr>
      </w:pPr>
      <w:r w:rsidRPr="00F54732">
        <w:rPr>
          <w:rFonts w:ascii="Arial" w:hAnsi="Arial" w:cs="Arial"/>
          <w:b/>
          <w:sz w:val="20"/>
          <w:szCs w:val="20"/>
        </w:rPr>
        <w:t>Unidad 3: La problemática ético-política de la discapacidad, desafíos profesionales</w:t>
      </w:r>
    </w:p>
    <w:p w:rsidR="00017FA5" w:rsidRPr="00F54732" w:rsidRDefault="00017FA5" w:rsidP="00F54732">
      <w:pPr>
        <w:spacing w:after="0" w:line="240" w:lineRule="auto"/>
        <w:ind w:right="566"/>
        <w:jc w:val="both"/>
        <w:rPr>
          <w:rFonts w:ascii="Arial" w:hAnsi="Arial" w:cs="Arial"/>
          <w:b/>
          <w:sz w:val="20"/>
          <w:szCs w:val="20"/>
        </w:rPr>
      </w:pPr>
      <w:r w:rsidRPr="00F54732">
        <w:rPr>
          <w:rFonts w:ascii="Arial" w:hAnsi="Arial" w:cs="Arial"/>
          <w:b/>
          <w:sz w:val="20"/>
          <w:szCs w:val="20"/>
        </w:rPr>
        <w:t xml:space="preserve">3.1. </w:t>
      </w:r>
      <w:r w:rsidRPr="00F54732">
        <w:rPr>
          <w:rFonts w:ascii="Arial" w:hAnsi="Arial" w:cs="Arial"/>
          <w:sz w:val="20"/>
          <w:szCs w:val="20"/>
        </w:rPr>
        <w:t>Normalidad y cuerpo normal. Lo normal, lo ideal. Lo mismo y lo diferente. La construcción social de la identidad.</w:t>
      </w:r>
    </w:p>
    <w:p w:rsidR="00017FA5" w:rsidRPr="00F54732" w:rsidRDefault="00017FA5" w:rsidP="00F54732">
      <w:pPr>
        <w:spacing w:after="0" w:line="240" w:lineRule="auto"/>
        <w:ind w:right="566"/>
        <w:jc w:val="both"/>
        <w:rPr>
          <w:rFonts w:ascii="Arial" w:hAnsi="Arial" w:cs="Arial"/>
          <w:b/>
          <w:bCs/>
          <w:sz w:val="20"/>
          <w:szCs w:val="20"/>
        </w:rPr>
      </w:pPr>
      <w:r w:rsidRPr="00F54732">
        <w:rPr>
          <w:rFonts w:ascii="Arial" w:hAnsi="Arial" w:cs="Arial"/>
          <w:b/>
          <w:sz w:val="20"/>
          <w:szCs w:val="20"/>
        </w:rPr>
        <w:t xml:space="preserve">3.2. </w:t>
      </w:r>
      <w:r w:rsidRPr="00F54732">
        <w:rPr>
          <w:rFonts w:ascii="Arial" w:hAnsi="Arial" w:cs="Arial"/>
          <w:sz w:val="20"/>
          <w:szCs w:val="20"/>
        </w:rPr>
        <w:t>Cuidado y responsabilidad.</w:t>
      </w:r>
      <w:r w:rsidRPr="00F54732">
        <w:rPr>
          <w:rFonts w:ascii="Arial" w:hAnsi="Arial" w:cs="Arial"/>
          <w:b/>
          <w:sz w:val="20"/>
          <w:szCs w:val="20"/>
        </w:rPr>
        <w:t xml:space="preserve"> </w:t>
      </w:r>
      <w:r w:rsidRPr="00F54732">
        <w:rPr>
          <w:rFonts w:ascii="Arial" w:hAnsi="Arial" w:cs="Arial"/>
          <w:sz w:val="20"/>
          <w:szCs w:val="20"/>
        </w:rPr>
        <w:t xml:space="preserve">La responsabilidad social por la discapacidad. La Convención de los Derechos de la Persona con Discapacidad (LN 26.378). Autonomía y ejercicio de la capacidad jurídica </w:t>
      </w:r>
    </w:p>
    <w:p w:rsidR="00017FA5" w:rsidRPr="00F54732" w:rsidRDefault="00017FA5" w:rsidP="00F54732">
      <w:pPr>
        <w:spacing w:after="0" w:line="240" w:lineRule="auto"/>
        <w:ind w:right="566"/>
        <w:jc w:val="both"/>
        <w:rPr>
          <w:rFonts w:ascii="Arial" w:hAnsi="Arial" w:cs="Arial"/>
          <w:sz w:val="20"/>
          <w:szCs w:val="20"/>
        </w:rPr>
      </w:pPr>
      <w:r w:rsidRPr="00F54732">
        <w:rPr>
          <w:rFonts w:ascii="Arial" w:hAnsi="Arial" w:cs="Arial"/>
          <w:b/>
          <w:bCs/>
          <w:sz w:val="20"/>
          <w:szCs w:val="20"/>
        </w:rPr>
        <w:t>3.3.</w:t>
      </w:r>
      <w:r w:rsidRPr="00F54732">
        <w:rPr>
          <w:rFonts w:ascii="Arial" w:hAnsi="Arial" w:cs="Arial"/>
          <w:sz w:val="20"/>
          <w:szCs w:val="20"/>
        </w:rPr>
        <w:t xml:space="preserve"> El ejercicio profesional frente a la discapacidad. Tensiones entre el modelo social de la discapacidad propuesto por la normativa vigente y la persistencia del modelo médico. Las organizaciones de la sociedad civil y la responsabilidad estatal. Conflictos</w:t>
      </w:r>
    </w:p>
    <w:p w:rsidR="00017FA5" w:rsidRPr="00F54732" w:rsidRDefault="00017FA5" w:rsidP="00F54732">
      <w:pPr>
        <w:spacing w:after="0" w:line="240" w:lineRule="auto"/>
        <w:ind w:right="566"/>
        <w:jc w:val="both"/>
        <w:rPr>
          <w:rFonts w:ascii="Arial" w:hAnsi="Arial" w:cs="Arial"/>
          <w:sz w:val="20"/>
          <w:szCs w:val="20"/>
        </w:rPr>
      </w:pPr>
      <w:r w:rsidRPr="00F54732">
        <w:rPr>
          <w:rFonts w:ascii="Arial" w:hAnsi="Arial" w:cs="Arial"/>
          <w:b/>
          <w:bCs/>
          <w:sz w:val="20"/>
          <w:szCs w:val="20"/>
        </w:rPr>
        <w:t>Bibliografía</w:t>
      </w:r>
    </w:p>
    <w:p w:rsidR="00017FA5" w:rsidRPr="00F54732" w:rsidRDefault="00017FA5" w:rsidP="00F54732">
      <w:pPr>
        <w:spacing w:after="0" w:line="240" w:lineRule="auto"/>
        <w:ind w:right="99"/>
        <w:jc w:val="both"/>
        <w:rPr>
          <w:rFonts w:ascii="Arial" w:hAnsi="Arial" w:cs="Arial"/>
          <w:b/>
          <w:smallCaps/>
          <w:kern w:val="1"/>
          <w:sz w:val="20"/>
          <w:szCs w:val="20"/>
        </w:rPr>
      </w:pPr>
      <w:r w:rsidRPr="00F54732">
        <w:rPr>
          <w:rFonts w:ascii="Arial" w:hAnsi="Arial" w:cs="Arial"/>
          <w:b/>
          <w:sz w:val="20"/>
          <w:szCs w:val="20"/>
        </w:rPr>
        <w:t xml:space="preserve">3.1. </w:t>
      </w:r>
      <w:r w:rsidRPr="00F54732">
        <w:rPr>
          <w:rFonts w:ascii="Arial" w:hAnsi="Arial" w:cs="Arial"/>
          <w:sz w:val="20"/>
          <w:szCs w:val="20"/>
        </w:rPr>
        <w:t>Ripa, Luisa, (2014) “Filosofía sobre las personas con discapacidad” (cap 1) en Necchi S. y otros (comp) Personas con discapacidad su abordaje desde miradas convergentes. Buenos Aires, UNQuilmes Publicacions Ciencias Sociales</w:t>
      </w:r>
    </w:p>
    <w:p w:rsidR="00017FA5" w:rsidRPr="00F54732" w:rsidRDefault="00017FA5" w:rsidP="00F54732">
      <w:pPr>
        <w:tabs>
          <w:tab w:val="left" w:pos="0"/>
          <w:tab w:val="left" w:pos="169"/>
          <w:tab w:val="left" w:pos="339"/>
          <w:tab w:val="left" w:pos="510"/>
          <w:tab w:val="left" w:pos="679"/>
          <w:tab w:val="left" w:pos="1020"/>
          <w:tab w:val="left" w:pos="1189"/>
          <w:tab w:val="left" w:pos="1359"/>
          <w:tab w:val="left" w:pos="1530"/>
          <w:tab w:val="left" w:pos="1700"/>
          <w:tab w:val="left" w:pos="1869"/>
          <w:tab w:val="left" w:pos="2040"/>
          <w:tab w:val="left" w:pos="2210"/>
          <w:tab w:val="left" w:pos="2379"/>
          <w:tab w:val="left" w:pos="2550"/>
          <w:tab w:val="left" w:pos="2720"/>
          <w:tab w:val="left" w:pos="2889"/>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1"/>
          <w:tab w:val="left" w:pos="5270"/>
          <w:tab w:val="left" w:pos="5440"/>
          <w:tab w:val="left" w:pos="5611"/>
          <w:tab w:val="left" w:pos="5780"/>
          <w:tab w:val="left" w:pos="5950"/>
          <w:tab w:val="left" w:pos="6121"/>
          <w:tab w:val="left" w:pos="6290"/>
          <w:tab w:val="left" w:pos="6460"/>
          <w:tab w:val="left" w:pos="6631"/>
        </w:tabs>
        <w:spacing w:after="0" w:line="240" w:lineRule="auto"/>
        <w:jc w:val="both"/>
        <w:rPr>
          <w:rFonts w:ascii="Arial" w:hAnsi="Arial" w:cs="Arial"/>
          <w:kern w:val="1"/>
          <w:sz w:val="20"/>
          <w:szCs w:val="20"/>
        </w:rPr>
      </w:pPr>
      <w:r w:rsidRPr="00F54732">
        <w:rPr>
          <w:rFonts w:ascii="Arial" w:hAnsi="Arial" w:cs="Arial"/>
          <w:b/>
          <w:smallCaps/>
          <w:kern w:val="1"/>
          <w:sz w:val="20"/>
          <w:szCs w:val="20"/>
        </w:rPr>
        <w:t>3.2.</w:t>
      </w:r>
      <w:r w:rsidRPr="00F54732">
        <w:rPr>
          <w:rFonts w:ascii="Arial" w:hAnsi="Arial" w:cs="Arial"/>
          <w:smallCaps/>
          <w:kern w:val="1"/>
          <w:sz w:val="20"/>
          <w:szCs w:val="20"/>
        </w:rPr>
        <w:t xml:space="preserve"> </w:t>
      </w:r>
      <w:r w:rsidRPr="00F54732">
        <w:rPr>
          <w:rFonts w:ascii="Arial" w:hAnsi="Arial" w:cs="Arial"/>
          <w:smallCaps/>
          <w:kern w:val="1"/>
          <w:sz w:val="20"/>
          <w:szCs w:val="20"/>
          <w:lang w:val="es-ES_tradnl"/>
        </w:rPr>
        <w:t>C</w:t>
      </w:r>
      <w:r w:rsidRPr="00F54732">
        <w:rPr>
          <w:rFonts w:ascii="Arial" w:hAnsi="Arial" w:cs="Arial"/>
          <w:kern w:val="1"/>
          <w:sz w:val="20"/>
          <w:szCs w:val="20"/>
        </w:rPr>
        <w:t xml:space="preserve">onvención de los Derechos de las Personas con Discapacidad (Ley Nac. N° 26.378). </w:t>
      </w:r>
    </w:p>
    <w:p w:rsidR="00017FA5" w:rsidRPr="00F54732" w:rsidRDefault="00017FA5" w:rsidP="00F54732">
      <w:pPr>
        <w:tabs>
          <w:tab w:val="left" w:pos="0"/>
          <w:tab w:val="left" w:pos="169"/>
          <w:tab w:val="left" w:pos="339"/>
          <w:tab w:val="left" w:pos="510"/>
          <w:tab w:val="left" w:pos="679"/>
          <w:tab w:val="left" w:pos="1020"/>
          <w:tab w:val="left" w:pos="1189"/>
          <w:tab w:val="left" w:pos="1359"/>
          <w:tab w:val="left" w:pos="1530"/>
          <w:tab w:val="left" w:pos="1700"/>
          <w:tab w:val="left" w:pos="1869"/>
          <w:tab w:val="left" w:pos="2040"/>
          <w:tab w:val="left" w:pos="2210"/>
          <w:tab w:val="left" w:pos="2379"/>
          <w:tab w:val="left" w:pos="2550"/>
          <w:tab w:val="left" w:pos="2720"/>
          <w:tab w:val="left" w:pos="2889"/>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1"/>
          <w:tab w:val="left" w:pos="5270"/>
          <w:tab w:val="left" w:pos="5440"/>
          <w:tab w:val="left" w:pos="5611"/>
          <w:tab w:val="left" w:pos="5780"/>
          <w:tab w:val="left" w:pos="5950"/>
          <w:tab w:val="left" w:pos="6121"/>
          <w:tab w:val="left" w:pos="6290"/>
          <w:tab w:val="left" w:pos="6460"/>
          <w:tab w:val="left" w:pos="6631"/>
        </w:tabs>
        <w:spacing w:after="0" w:line="240" w:lineRule="auto"/>
        <w:jc w:val="both"/>
        <w:rPr>
          <w:rFonts w:ascii="Arial" w:hAnsi="Arial" w:cs="Arial"/>
          <w:sz w:val="20"/>
          <w:szCs w:val="20"/>
        </w:rPr>
      </w:pPr>
      <w:r w:rsidRPr="00F54732">
        <w:rPr>
          <w:rFonts w:ascii="Arial" w:hAnsi="Arial" w:cs="Arial"/>
          <w:sz w:val="20"/>
          <w:szCs w:val="20"/>
        </w:rPr>
        <w:t>Ripa, Luisa, (2014) Los derechos de las personas con discapacidad” (cap 2) en Necchi S. y otros (comp) Personas con discapacidad su abordaje desde miradas convergentes. Buenos Aires, UNQuilmes Publicacions Ciencias Sociales</w:t>
      </w:r>
    </w:p>
    <w:p w:rsidR="00017FA5" w:rsidRPr="00F54732" w:rsidRDefault="00017FA5" w:rsidP="00F54732">
      <w:pPr>
        <w:spacing w:after="0" w:line="240" w:lineRule="auto"/>
        <w:ind w:right="99"/>
        <w:jc w:val="both"/>
        <w:rPr>
          <w:rFonts w:ascii="Arial" w:hAnsi="Arial" w:cs="Arial"/>
          <w:kern w:val="20"/>
          <w:sz w:val="20"/>
          <w:szCs w:val="20"/>
        </w:rPr>
      </w:pPr>
      <w:r w:rsidRPr="00F54732">
        <w:rPr>
          <w:rFonts w:ascii="Arial" w:hAnsi="Arial" w:cs="Arial"/>
          <w:smallCaps/>
          <w:kern w:val="1"/>
          <w:sz w:val="20"/>
          <w:szCs w:val="20"/>
        </w:rPr>
        <w:t>B</w:t>
      </w:r>
      <w:r w:rsidRPr="00F54732">
        <w:rPr>
          <w:rFonts w:ascii="Arial" w:hAnsi="Arial" w:cs="Arial"/>
          <w:kern w:val="20"/>
          <w:sz w:val="20"/>
          <w:szCs w:val="20"/>
        </w:rPr>
        <w:t xml:space="preserve">ujan, Javier (2016) </w:t>
      </w:r>
      <w:r w:rsidRPr="00F54732">
        <w:rPr>
          <w:rFonts w:ascii="Arial" w:hAnsi="Arial" w:cs="Arial"/>
          <w:i/>
          <w:kern w:val="20"/>
          <w:sz w:val="20"/>
          <w:szCs w:val="20"/>
        </w:rPr>
        <w:t>Discapacidad y no discriminación</w:t>
      </w:r>
      <w:r w:rsidRPr="00F54732">
        <w:rPr>
          <w:rFonts w:ascii="Arial" w:hAnsi="Arial" w:cs="Arial"/>
          <w:kern w:val="20"/>
          <w:sz w:val="20"/>
          <w:szCs w:val="20"/>
        </w:rPr>
        <w:t>. Buenos Aires, INADI</w:t>
      </w:r>
    </w:p>
    <w:p w:rsidR="00017FA5" w:rsidRPr="00F54732" w:rsidRDefault="00017FA5" w:rsidP="00F54732">
      <w:pPr>
        <w:tabs>
          <w:tab w:val="left" w:pos="0"/>
          <w:tab w:val="left" w:pos="169"/>
          <w:tab w:val="left" w:pos="339"/>
          <w:tab w:val="left" w:pos="510"/>
          <w:tab w:val="left" w:pos="679"/>
          <w:tab w:val="left" w:pos="1020"/>
          <w:tab w:val="left" w:pos="1189"/>
          <w:tab w:val="left" w:pos="1359"/>
          <w:tab w:val="left" w:pos="1530"/>
          <w:tab w:val="left" w:pos="1700"/>
          <w:tab w:val="left" w:pos="1869"/>
          <w:tab w:val="left" w:pos="2040"/>
          <w:tab w:val="left" w:pos="2210"/>
          <w:tab w:val="left" w:pos="2379"/>
          <w:tab w:val="left" w:pos="2550"/>
          <w:tab w:val="left" w:pos="2720"/>
          <w:tab w:val="left" w:pos="2889"/>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1"/>
          <w:tab w:val="left" w:pos="5270"/>
          <w:tab w:val="left" w:pos="5440"/>
          <w:tab w:val="left" w:pos="5611"/>
          <w:tab w:val="left" w:pos="5780"/>
          <w:tab w:val="left" w:pos="5950"/>
          <w:tab w:val="left" w:pos="6121"/>
          <w:tab w:val="left" w:pos="6290"/>
          <w:tab w:val="left" w:pos="6460"/>
          <w:tab w:val="left" w:pos="6631"/>
        </w:tabs>
        <w:spacing w:after="0" w:line="240" w:lineRule="auto"/>
        <w:jc w:val="both"/>
        <w:rPr>
          <w:rFonts w:ascii="Arial" w:hAnsi="Arial" w:cs="Arial"/>
          <w:smallCaps/>
          <w:kern w:val="1"/>
          <w:sz w:val="20"/>
          <w:szCs w:val="20"/>
          <w:lang w:val="es-ES_tradnl"/>
        </w:rPr>
      </w:pPr>
      <w:r w:rsidRPr="00F54732">
        <w:rPr>
          <w:rFonts w:ascii="Arial" w:hAnsi="Arial" w:cs="Arial"/>
          <w:smallCaps/>
          <w:kern w:val="1"/>
          <w:sz w:val="20"/>
          <w:szCs w:val="20"/>
        </w:rPr>
        <w:t>W</w:t>
      </w:r>
      <w:r w:rsidRPr="00F54732">
        <w:rPr>
          <w:rFonts w:ascii="Arial" w:hAnsi="Arial" w:cs="Arial"/>
          <w:kern w:val="20"/>
          <w:sz w:val="20"/>
          <w:szCs w:val="20"/>
        </w:rPr>
        <w:t xml:space="preserve">ester, </w:t>
      </w:r>
      <w:r w:rsidRPr="00F54732">
        <w:rPr>
          <w:rFonts w:ascii="Arial" w:hAnsi="Arial" w:cs="Arial"/>
          <w:smallCaps/>
          <w:kern w:val="1"/>
          <w:sz w:val="20"/>
          <w:szCs w:val="20"/>
        </w:rPr>
        <w:t xml:space="preserve">J. (2006) </w:t>
      </w:r>
      <w:r w:rsidRPr="00F54732">
        <w:rPr>
          <w:rFonts w:ascii="Arial" w:hAnsi="Arial" w:cs="Arial"/>
          <w:kern w:val="20"/>
          <w:sz w:val="20"/>
          <w:szCs w:val="20"/>
        </w:rPr>
        <w:t xml:space="preserve">“La multidimensionalidad del concepto de responsabilidad” en </w:t>
      </w:r>
      <w:r w:rsidRPr="00F54732">
        <w:rPr>
          <w:rFonts w:ascii="Arial" w:hAnsi="Arial" w:cs="Arial"/>
          <w:kern w:val="20"/>
          <w:sz w:val="20"/>
          <w:szCs w:val="20"/>
          <w:lang w:val="es-ES_tradnl"/>
        </w:rPr>
        <w:t>En Michelini y otros. (2006)</w:t>
      </w:r>
      <w:r w:rsidRPr="00F54732">
        <w:rPr>
          <w:rFonts w:ascii="Arial" w:hAnsi="Arial" w:cs="Arial"/>
          <w:i/>
          <w:kern w:val="20"/>
          <w:sz w:val="20"/>
          <w:szCs w:val="20"/>
          <w:lang w:val="es-ES_tradnl"/>
        </w:rPr>
        <w:t>Responsabilidad Solidaridad.</w:t>
      </w:r>
      <w:r w:rsidRPr="00F54732">
        <w:rPr>
          <w:rFonts w:ascii="Arial" w:hAnsi="Arial" w:cs="Arial"/>
          <w:kern w:val="20"/>
          <w:sz w:val="20"/>
          <w:szCs w:val="20"/>
          <w:lang w:val="es-ES_tradnl"/>
        </w:rPr>
        <w:t xml:space="preserve"> Rio Cuarto Ediciones del ICALA</w:t>
      </w:r>
    </w:p>
    <w:p w:rsidR="00017FA5" w:rsidRDefault="00017FA5" w:rsidP="00F54732">
      <w:pPr>
        <w:spacing w:after="0" w:line="240" w:lineRule="auto"/>
        <w:ind w:right="99"/>
        <w:jc w:val="both"/>
        <w:rPr>
          <w:rFonts w:ascii="Arial" w:hAnsi="Arial" w:cs="Arial"/>
          <w:sz w:val="20"/>
          <w:szCs w:val="20"/>
        </w:rPr>
      </w:pPr>
      <w:r w:rsidRPr="00F54732">
        <w:rPr>
          <w:rFonts w:ascii="Arial" w:hAnsi="Arial" w:cs="Arial"/>
          <w:b/>
          <w:bCs/>
          <w:sz w:val="20"/>
          <w:szCs w:val="20"/>
        </w:rPr>
        <w:t xml:space="preserve">3.3 </w:t>
      </w:r>
      <w:r w:rsidRPr="00F54732">
        <w:rPr>
          <w:rFonts w:ascii="Arial" w:hAnsi="Arial" w:cs="Arial"/>
          <w:sz w:val="20"/>
          <w:szCs w:val="20"/>
        </w:rPr>
        <w:t xml:space="preserve">Stern, F. (2005) </w:t>
      </w:r>
      <w:r w:rsidRPr="00F54732">
        <w:rPr>
          <w:rFonts w:ascii="Arial" w:hAnsi="Arial" w:cs="Arial"/>
          <w:i/>
          <w:sz w:val="20"/>
          <w:szCs w:val="20"/>
        </w:rPr>
        <w:t>El estigma y la discriminación. Ciudadanos estigmatizados, sociedades lujuriosas.</w:t>
      </w:r>
      <w:r w:rsidRPr="00F54732">
        <w:rPr>
          <w:rFonts w:ascii="Arial" w:hAnsi="Arial" w:cs="Arial"/>
          <w:sz w:val="20"/>
          <w:szCs w:val="20"/>
        </w:rPr>
        <w:t xml:space="preserve"> Buenos Aires, Novedades Educativas Capítulo 13</w:t>
      </w:r>
    </w:p>
    <w:p w:rsidR="00017FA5" w:rsidRDefault="00017FA5" w:rsidP="00F54732">
      <w:pPr>
        <w:spacing w:after="0" w:line="240" w:lineRule="auto"/>
        <w:ind w:right="99"/>
        <w:jc w:val="both"/>
        <w:rPr>
          <w:rFonts w:ascii="Arial" w:hAnsi="Arial" w:cs="Arial"/>
          <w:sz w:val="20"/>
          <w:szCs w:val="20"/>
        </w:rPr>
      </w:pPr>
    </w:p>
    <w:p w:rsidR="00017FA5" w:rsidRPr="00F54732" w:rsidRDefault="00017FA5" w:rsidP="00F54732">
      <w:pPr>
        <w:spacing w:after="0" w:line="240" w:lineRule="auto"/>
        <w:ind w:right="99"/>
        <w:jc w:val="both"/>
        <w:rPr>
          <w:rFonts w:ascii="Arial" w:hAnsi="Arial" w:cs="Arial"/>
          <w:b/>
          <w:bCs/>
          <w:sz w:val="20"/>
          <w:szCs w:val="20"/>
        </w:rPr>
      </w:pPr>
      <w:r w:rsidRPr="00F54732">
        <w:rPr>
          <w:rFonts w:ascii="Arial" w:hAnsi="Arial" w:cs="Arial"/>
          <w:b/>
          <w:bCs/>
          <w:sz w:val="20"/>
          <w:szCs w:val="20"/>
        </w:rPr>
        <w:t>Cuestionario</w:t>
      </w:r>
    </w:p>
    <w:p w:rsidR="00017FA5" w:rsidRPr="003803C7" w:rsidRDefault="00017FA5" w:rsidP="00F54732">
      <w:pPr>
        <w:pStyle w:val="ListParagraph"/>
        <w:numPr>
          <w:ilvl w:val="0"/>
          <w:numId w:val="1"/>
        </w:numPr>
        <w:rPr>
          <w:rFonts w:ascii="Arial" w:hAnsi="Arial" w:cs="Arial"/>
        </w:rPr>
      </w:pPr>
      <w:r w:rsidRPr="003803C7">
        <w:rPr>
          <w:rFonts w:ascii="Arial" w:hAnsi="Arial" w:cs="Arial"/>
        </w:rPr>
        <w:t>Comenta dos datos sobre la discapacidad en Mendoza expresados en cuadros que te hayan llamado la atención, ¿Por qué?</w:t>
      </w:r>
    </w:p>
    <w:p w:rsidR="00017FA5" w:rsidRPr="003803C7" w:rsidRDefault="00017FA5" w:rsidP="00F54732">
      <w:pPr>
        <w:pStyle w:val="ListParagraph"/>
        <w:rPr>
          <w:rFonts w:ascii="Arial" w:hAnsi="Arial" w:cs="Arial"/>
        </w:rPr>
      </w:pPr>
      <w:r w:rsidRPr="003803C7">
        <w:rPr>
          <w:rFonts w:ascii="Arial" w:hAnsi="Arial" w:cs="Arial"/>
        </w:rPr>
        <w:t>Comenta una situación de falta de accesibilidad que conozcas. ¿Quién y cómo debería resolverse?</w:t>
      </w:r>
    </w:p>
    <w:p w:rsidR="00017FA5" w:rsidRPr="003803C7" w:rsidRDefault="00017FA5" w:rsidP="00F54732">
      <w:pPr>
        <w:pStyle w:val="ListParagraph"/>
        <w:numPr>
          <w:ilvl w:val="0"/>
          <w:numId w:val="1"/>
        </w:numPr>
        <w:rPr>
          <w:rFonts w:ascii="Arial" w:hAnsi="Arial" w:cs="Arial"/>
        </w:rPr>
      </w:pPr>
      <w:r w:rsidRPr="003803C7">
        <w:rPr>
          <w:rFonts w:ascii="Arial" w:hAnsi="Arial" w:cs="Arial"/>
          <w:color w:val="000000"/>
          <w:shd w:val="clear" w:color="auto" w:fill="FFFFFF"/>
        </w:rPr>
        <w:t>Redacta una situación conocida en la que se vea involucrada una persona con discapacidad y en la que las actitudes de otras personas respondan a creencias, prejuicios vinculados a tres de los aspectos señalados por L. Ripa: 1 - Lo normal/ anormal, 2- Lo mismo/lo diferente, 3- La subjetividad vivida y pensada, 4- El sí mismo como otro, 5- El hombre capaz, 6- El difícil y móvil límite de la discapacidad 7- El reconocimiento y la aceptación de si mismo y de los otros.</w:t>
      </w:r>
    </w:p>
    <w:p w:rsidR="00017FA5" w:rsidRPr="003803C7" w:rsidRDefault="00017FA5" w:rsidP="00F54732">
      <w:pPr>
        <w:pStyle w:val="ListParagraph"/>
        <w:numPr>
          <w:ilvl w:val="0"/>
          <w:numId w:val="1"/>
        </w:numPr>
        <w:rPr>
          <w:rFonts w:ascii="Arial" w:hAnsi="Arial" w:cs="Arial"/>
        </w:rPr>
      </w:pPr>
      <w:r w:rsidRPr="003803C7">
        <w:rPr>
          <w:rFonts w:ascii="Arial" w:hAnsi="Arial" w:cs="Arial"/>
          <w:color w:val="000000"/>
          <w:shd w:val="clear" w:color="auto" w:fill="FFFFFF"/>
        </w:rPr>
        <w:t>Redacta una situación real o ficticia vivida por una PcD en la que se ponga en juego su capacidad de ejercicio de derechos (capacidad jurídica). Comenta en qué medida su reconocimiento por parte de los otros involucrados posibilita el ejercicio de otros dos derechos. Asimismo, cómo el reconocimiento de la capacidad jurídica de las PcD modifica su vida cotidiana.</w:t>
      </w:r>
    </w:p>
    <w:p w:rsidR="00017FA5" w:rsidRPr="003803C7" w:rsidRDefault="00017FA5" w:rsidP="00F54732">
      <w:pPr>
        <w:pStyle w:val="ListParagraph"/>
        <w:numPr>
          <w:ilvl w:val="0"/>
          <w:numId w:val="1"/>
        </w:numPr>
        <w:rPr>
          <w:rFonts w:ascii="Arial" w:hAnsi="Arial" w:cs="Arial"/>
        </w:rPr>
      </w:pPr>
      <w:r w:rsidRPr="003803C7">
        <w:rPr>
          <w:rFonts w:ascii="Arial" w:hAnsi="Arial" w:cs="Arial"/>
          <w:color w:val="000000"/>
          <w:shd w:val="clear" w:color="auto" w:fill="FFFFFF"/>
        </w:rPr>
        <w:t>¿Cuál es la función de la Defensoría de las PcD en Mendoza? ¿Cómo se elige su titular? Investiga en su página de Facebook, cuáles han sido sus intervenciones en los últimos meses</w:t>
      </w:r>
    </w:p>
    <w:p w:rsidR="00017FA5" w:rsidRDefault="00017FA5" w:rsidP="00F54732">
      <w:pPr>
        <w:pStyle w:val="ListParagraph"/>
        <w:numPr>
          <w:ilvl w:val="0"/>
          <w:numId w:val="1"/>
        </w:numPr>
        <w:rPr>
          <w:rFonts w:ascii="Arial" w:hAnsi="Arial" w:cs="Arial"/>
        </w:rPr>
      </w:pPr>
      <w:r w:rsidRPr="003803C7">
        <w:rPr>
          <w:rFonts w:ascii="Arial" w:hAnsi="Arial" w:cs="Arial"/>
        </w:rPr>
        <w:t xml:space="preserve">Teniendo en cuenta lo descrito por el texto de Burad, García y Urquiza y el de Cobeñas. Redacta una situación </w:t>
      </w:r>
      <w:r>
        <w:rPr>
          <w:rFonts w:ascii="Arial" w:hAnsi="Arial" w:cs="Arial"/>
        </w:rPr>
        <w:t xml:space="preserve">real o ficticia </w:t>
      </w:r>
      <w:r w:rsidRPr="003803C7">
        <w:rPr>
          <w:rFonts w:ascii="Arial" w:hAnsi="Arial" w:cs="Arial"/>
        </w:rPr>
        <w:t>de inclusión educativa en la que se adviertan conflictos entre estudiantes, padres, docentes, directivos</w:t>
      </w:r>
      <w:r>
        <w:rPr>
          <w:rFonts w:ascii="Arial" w:hAnsi="Arial" w:cs="Arial"/>
        </w:rPr>
        <w:t xml:space="preserve">.  Debe identificarse las distintas posiciones de los agentes educativos que contribuyan a una experiencia de </w:t>
      </w:r>
      <w:r>
        <w:rPr>
          <w:rFonts w:ascii="Arial" w:hAnsi="Arial" w:cs="Arial"/>
          <w:i/>
          <w:iCs/>
        </w:rPr>
        <w:t xml:space="preserve">inintegrabilidad o ineducabilidad </w:t>
      </w:r>
      <w:r>
        <w:rPr>
          <w:rFonts w:ascii="Arial" w:hAnsi="Arial" w:cs="Arial"/>
        </w:rPr>
        <w:t>de la PcD. Explica desde el texto de J. Wester quiénes son los responsables morales de que la situación cambie, ¿cómo y por quién sería exigible?</w:t>
      </w:r>
    </w:p>
    <w:p w:rsidR="00017FA5" w:rsidRPr="003803C7" w:rsidRDefault="00017FA5" w:rsidP="00DE2CD8">
      <w:pPr>
        <w:pStyle w:val="ListParagraph"/>
        <w:rPr>
          <w:rFonts w:ascii="Arial" w:hAnsi="Arial" w:cs="Arial"/>
        </w:rPr>
      </w:pPr>
      <w:r>
        <w:rPr>
          <w:rFonts w:ascii="Arial" w:hAnsi="Arial" w:cs="Arial"/>
        </w:rPr>
        <w:t>Además, si el involucramiento de una OSC contribuiría a resolver la situación ¿Por qué?</w:t>
      </w:r>
    </w:p>
    <w:sectPr w:rsidR="00017FA5" w:rsidRPr="003803C7" w:rsidSect="00F5473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760B"/>
    <w:multiLevelType w:val="hybridMultilevel"/>
    <w:tmpl w:val="9CCEFFE0"/>
    <w:lvl w:ilvl="0" w:tplc="BC826386">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732"/>
    <w:rsid w:val="00017FA5"/>
    <w:rsid w:val="00224619"/>
    <w:rsid w:val="003472A6"/>
    <w:rsid w:val="003803C7"/>
    <w:rsid w:val="006B1D3E"/>
    <w:rsid w:val="008C3514"/>
    <w:rsid w:val="00911D32"/>
    <w:rsid w:val="00B36B61"/>
    <w:rsid w:val="00B5654D"/>
    <w:rsid w:val="00C9699F"/>
    <w:rsid w:val="00CC05FE"/>
    <w:rsid w:val="00DE2CD8"/>
    <w:rsid w:val="00F5473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3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47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560</Words>
  <Characters>3084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Formación Ética y Ciudadana</dc:title>
  <dc:subject/>
  <dc:creator>Cecilia Tosoni</dc:creator>
  <cp:keywords/>
  <dc:description/>
  <cp:lastModifiedBy>DELIA</cp:lastModifiedBy>
  <cp:revision>2</cp:revision>
  <dcterms:created xsi:type="dcterms:W3CDTF">2020-06-29T02:39:00Z</dcterms:created>
  <dcterms:modified xsi:type="dcterms:W3CDTF">2020-06-29T02:39:00Z</dcterms:modified>
</cp:coreProperties>
</file>